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7D2" w:rsidRPr="00C927D2" w:rsidRDefault="00461CF9" w:rsidP="00C927D2">
      <w:pPr>
        <w:wordWrap/>
        <w:adjustRightInd w:val="0"/>
        <w:spacing w:after="0" w:line="240" w:lineRule="auto"/>
        <w:ind w:left="1260" w:hangingChars="600" w:hanging="1260"/>
        <w:jc w:val="left"/>
        <w:rPr>
          <w:rFonts w:ascii="ＭＳ 明朝" w:eastAsia="ＭＳ 明朝" w:hAnsi="ＭＳ 明朝" w:cs="Times New Roman"/>
          <w:kern w:val="0"/>
          <w:sz w:val="21"/>
          <w:szCs w:val="21"/>
          <w:lang w:eastAsia="ja-JP"/>
        </w:rPr>
      </w:pPr>
      <w:r>
        <w:rPr>
          <w:rFonts w:ascii="ＭＳ 明朝" w:eastAsia="ＭＳ 明朝" w:hAnsi="ＭＳ 明朝" w:cs="Times New Roman" w:hint="eastAsia"/>
          <w:kern w:val="0"/>
          <w:sz w:val="21"/>
          <w:szCs w:val="21"/>
          <w:lang w:eastAsia="ja-JP"/>
        </w:rPr>
        <w:t>＜本の要約</w:t>
      </w:r>
      <w:bookmarkStart w:id="0" w:name="_GoBack"/>
      <w:bookmarkEnd w:id="0"/>
      <w:r w:rsidR="00C927D2" w:rsidRPr="00C927D2">
        <w:rPr>
          <w:rFonts w:ascii="ＭＳ 明朝" w:eastAsia="ＭＳ 明朝" w:hAnsi="ＭＳ 明朝" w:cs="Times New Roman" w:hint="eastAsia"/>
          <w:kern w:val="0"/>
          <w:sz w:val="21"/>
          <w:szCs w:val="21"/>
          <w:lang w:eastAsia="ja-JP"/>
        </w:rPr>
        <w:t>＞</w:t>
      </w:r>
    </w:p>
    <w:p w:rsidR="00C927D2" w:rsidRPr="00C927D2" w:rsidRDefault="00C927D2" w:rsidP="00C927D2">
      <w:pPr>
        <w:wordWrap/>
        <w:adjustRightInd w:val="0"/>
        <w:spacing w:after="0" w:line="240" w:lineRule="auto"/>
        <w:ind w:left="1260" w:hangingChars="600" w:hanging="1260"/>
        <w:jc w:val="left"/>
        <w:rPr>
          <w:rFonts w:ascii="ＭＳ 明朝" w:eastAsia="ＭＳ 明朝" w:hAnsi="ＭＳ 明朝" w:cs="Times New Roman"/>
          <w:kern w:val="0"/>
          <w:sz w:val="21"/>
          <w:szCs w:val="21"/>
          <w:lang w:eastAsia="ja-JP"/>
        </w:rPr>
      </w:pPr>
    </w:p>
    <w:p w:rsidR="00C927D2" w:rsidRPr="00C927D2" w:rsidRDefault="00C927D2" w:rsidP="00C927D2">
      <w:pPr>
        <w:wordWrap/>
        <w:adjustRightInd w:val="0"/>
        <w:spacing w:after="0" w:line="240" w:lineRule="auto"/>
        <w:ind w:left="1265" w:hangingChars="600" w:hanging="1265"/>
        <w:jc w:val="left"/>
        <w:rPr>
          <w:rFonts w:ascii="Times New Roman" w:eastAsia="ＭＳ ゴシック" w:hAnsi="Times New Roman" w:cs="Times New Roman"/>
          <w:b/>
          <w:kern w:val="0"/>
          <w:sz w:val="21"/>
          <w:szCs w:val="21"/>
          <w:lang w:eastAsia="ja-JP"/>
        </w:rPr>
      </w:pPr>
      <w:r w:rsidRPr="00C927D2">
        <w:rPr>
          <w:rFonts w:ascii="Times New Roman" w:eastAsia="ＭＳ ゴシック" w:hAnsi="Times New Roman" w:cs="Times New Roman"/>
          <w:b/>
          <w:kern w:val="0"/>
          <w:sz w:val="21"/>
          <w:szCs w:val="21"/>
          <w:lang w:eastAsia="ja-JP"/>
        </w:rPr>
        <w:t>Energy, and Environmental and Economic Sustainability in East Asia – Policies and Institutional Reforms</w:t>
      </w:r>
      <w:r w:rsidRPr="00C927D2">
        <w:rPr>
          <w:rFonts w:ascii="Times New Roman" w:eastAsia="ＭＳ ゴシック" w:hAnsi="Times New Roman" w:cs="Times New Roman" w:hint="eastAsia"/>
          <w:b/>
          <w:kern w:val="0"/>
          <w:sz w:val="21"/>
          <w:szCs w:val="21"/>
          <w:lang w:eastAsia="ja-JP"/>
        </w:rPr>
        <w:t>－</w:t>
      </w:r>
      <w:r w:rsidRPr="00C927D2">
        <w:rPr>
          <w:rFonts w:ascii="Times New Roman" w:eastAsia="ＭＳ ゴシック" w:hAnsi="Times New Roman" w:cs="Times New Roman"/>
          <w:b/>
          <w:kern w:val="0"/>
          <w:sz w:val="21"/>
          <w:szCs w:val="21"/>
          <w:lang w:eastAsia="ja-JP"/>
        </w:rPr>
        <w:t xml:space="preserve"> </w:t>
      </w:r>
    </w:p>
    <w:p w:rsidR="00C927D2" w:rsidRPr="00C927D2" w:rsidRDefault="00C927D2" w:rsidP="00C927D2">
      <w:pPr>
        <w:wordWrap/>
        <w:adjustRightInd w:val="0"/>
        <w:spacing w:after="0" w:line="240" w:lineRule="auto"/>
        <w:jc w:val="left"/>
        <w:rPr>
          <w:rFonts w:ascii="ＭＳ ゴシック" w:eastAsia="ＭＳ ゴシック" w:hAnsi="Times New Roman" w:cs="ＭＳ ゴシック"/>
          <w:kern w:val="0"/>
          <w:sz w:val="21"/>
          <w:szCs w:val="21"/>
          <w:lang w:eastAsia="ja-JP"/>
        </w:rPr>
      </w:pPr>
    </w:p>
    <w:p w:rsidR="00C927D2" w:rsidRPr="00C927D2" w:rsidRDefault="00C927D2" w:rsidP="00C927D2">
      <w:pPr>
        <w:wordWrap/>
        <w:adjustRightInd w:val="0"/>
        <w:spacing w:after="0" w:line="240" w:lineRule="auto"/>
        <w:ind w:firstLineChars="1000" w:firstLine="2100"/>
        <w:jc w:val="left"/>
        <w:rPr>
          <w:rFonts w:ascii="Times New Roman" w:eastAsia="ＭＳ ゴシック" w:hAnsi="Times New Roman" w:cs="Times New Roman"/>
          <w:kern w:val="0"/>
          <w:sz w:val="21"/>
          <w:szCs w:val="21"/>
          <w:lang w:eastAsia="ja-JP"/>
        </w:rPr>
      </w:pPr>
      <w:r w:rsidRPr="00C927D2">
        <w:rPr>
          <w:rFonts w:ascii="Times New Roman" w:eastAsia="ＭＳ ゴシック" w:hAnsi="Times New Roman" w:cs="Times New Roman"/>
          <w:kern w:val="0"/>
          <w:sz w:val="21"/>
          <w:szCs w:val="21"/>
          <w:lang w:eastAsia="ja-JP"/>
        </w:rPr>
        <w:t xml:space="preserve">Edited by </w:t>
      </w:r>
      <w:r w:rsidRPr="00C927D2">
        <w:rPr>
          <w:rFonts w:ascii="Times New Roman" w:hAnsi="Times New Roman" w:cs="Times New Roman"/>
          <w:sz w:val="21"/>
          <w:szCs w:val="21"/>
          <w:lang w:eastAsia="ja-JP"/>
        </w:rPr>
        <w:t>Soocheol Lee, Hector Pollitt and Kiyoshi Fujikawa</w:t>
      </w:r>
    </w:p>
    <w:p w:rsidR="00C927D2" w:rsidRPr="00C927D2" w:rsidRDefault="00C927D2" w:rsidP="00C927D2">
      <w:pPr>
        <w:wordWrap/>
        <w:adjustRightInd w:val="0"/>
        <w:spacing w:after="0" w:line="240" w:lineRule="auto"/>
        <w:ind w:firstLineChars="100" w:firstLine="210"/>
        <w:jc w:val="left"/>
        <w:rPr>
          <w:rFonts w:ascii="ＭＳ 明朝" w:eastAsia="ＭＳ 明朝" w:hAnsi="ＭＳ 明朝" w:cs="ＭＳ ゴシック"/>
          <w:kern w:val="0"/>
          <w:sz w:val="21"/>
          <w:szCs w:val="21"/>
          <w:lang w:eastAsia="ja-JP"/>
        </w:rPr>
      </w:pPr>
    </w:p>
    <w:p w:rsidR="00C927D2" w:rsidRPr="00C927D2" w:rsidRDefault="00C927D2" w:rsidP="00C927D2">
      <w:pPr>
        <w:wordWrap/>
        <w:adjustRightInd w:val="0"/>
        <w:spacing w:after="0" w:line="240" w:lineRule="auto"/>
        <w:ind w:firstLineChars="100" w:firstLine="210"/>
        <w:jc w:val="left"/>
        <w:rPr>
          <w:rFonts w:ascii="ＭＳ 明朝" w:eastAsia="ＭＳ 明朝" w:hAnsi="ＭＳ 明朝" w:cs="ＭＳ ゴシック"/>
          <w:kern w:val="0"/>
          <w:sz w:val="21"/>
          <w:szCs w:val="21"/>
          <w:lang w:eastAsia="ja-JP"/>
        </w:rPr>
      </w:pPr>
      <w:r w:rsidRPr="00C927D2">
        <w:rPr>
          <w:rFonts w:ascii="ＭＳ 明朝" w:eastAsia="ＭＳ 明朝" w:hAnsi="ＭＳ 明朝" w:cs="ＭＳ ゴシック" w:hint="eastAsia"/>
          <w:kern w:val="0"/>
          <w:sz w:val="21"/>
          <w:szCs w:val="21"/>
          <w:lang w:eastAsia="ja-JP"/>
        </w:rPr>
        <w:t>本書は、 日本・中国・韓国・台湾を中心とする東アジアの持続可能な未来に向けたエネルギー・環境・資源利用関連制度改革の方向性を明らかにすることを目的としました。その際に本書は、 各国のパリ協定２℃目標達成のための</w:t>
      </w:r>
      <w:r w:rsidRPr="00C927D2">
        <w:rPr>
          <w:rFonts w:ascii="ＭＳ 明朝" w:eastAsia="ＭＳ 明朝" w:hAnsi="ＭＳ 明朝" w:cs="ＭＳ ゴシック"/>
          <w:kern w:val="0"/>
          <w:sz w:val="21"/>
          <w:szCs w:val="21"/>
          <w:lang w:eastAsia="ja-JP"/>
        </w:rPr>
        <w:t>環境・</w:t>
      </w:r>
      <w:r w:rsidRPr="00C927D2">
        <w:rPr>
          <w:rFonts w:ascii="ＭＳ 明朝" w:eastAsia="ＭＳ 明朝" w:hAnsi="ＭＳ 明朝" w:cs="ＭＳ ゴシック" w:hint="eastAsia"/>
          <w:kern w:val="0"/>
          <w:sz w:val="21"/>
          <w:szCs w:val="21"/>
          <w:lang w:eastAsia="ja-JP"/>
        </w:rPr>
        <w:t>エネルギー・資源</w:t>
      </w:r>
      <w:r w:rsidRPr="00C927D2">
        <w:rPr>
          <w:rFonts w:ascii="ＭＳ 明朝" w:eastAsia="ＭＳ 明朝" w:hAnsi="ＭＳ 明朝" w:cs="ＭＳ ゴシック"/>
          <w:kern w:val="0"/>
          <w:sz w:val="21"/>
          <w:szCs w:val="21"/>
          <w:lang w:eastAsia="ja-JP"/>
        </w:rPr>
        <w:t>政策</w:t>
      </w:r>
      <w:r w:rsidRPr="00C927D2">
        <w:rPr>
          <w:rFonts w:ascii="ＭＳ 明朝" w:eastAsia="ＭＳ 明朝" w:hAnsi="ＭＳ 明朝" w:cs="ＭＳ ゴシック" w:hint="eastAsia"/>
          <w:kern w:val="0"/>
          <w:sz w:val="21"/>
          <w:szCs w:val="21"/>
          <w:lang w:eastAsia="ja-JP"/>
        </w:rPr>
        <w:t>が、2050年までの中長期的に環境と</w:t>
      </w:r>
      <w:r w:rsidRPr="00C927D2">
        <w:rPr>
          <w:rFonts w:ascii="ＭＳ 明朝" w:eastAsia="ＭＳ 明朝" w:hAnsi="ＭＳ 明朝" w:cs="ＭＳ ゴシック"/>
          <w:kern w:val="0"/>
          <w:sz w:val="21"/>
          <w:szCs w:val="21"/>
          <w:lang w:eastAsia="ja-JP"/>
        </w:rPr>
        <w:t>経済</w:t>
      </w:r>
      <w:r w:rsidRPr="00C927D2">
        <w:rPr>
          <w:rFonts w:ascii="ＭＳ 明朝" w:eastAsia="ＭＳ 明朝" w:hAnsi="ＭＳ 明朝" w:cs="ＭＳ ゴシック" w:hint="eastAsia"/>
          <w:kern w:val="0"/>
          <w:sz w:val="21"/>
          <w:szCs w:val="21"/>
          <w:lang w:eastAsia="ja-JP"/>
        </w:rPr>
        <w:t>に与える影響評価</w:t>
      </w:r>
      <w:r w:rsidRPr="00C927D2">
        <w:rPr>
          <w:rFonts w:ascii="ＭＳ 明朝" w:eastAsia="ＭＳ 明朝" w:hAnsi="ＭＳ 明朝" w:cs="ＭＳ ゴシック"/>
          <w:kern w:val="0"/>
          <w:sz w:val="21"/>
          <w:szCs w:val="21"/>
          <w:lang w:eastAsia="ja-JP"/>
        </w:rPr>
        <w:t xml:space="preserve">を、 </w:t>
      </w:r>
      <w:r w:rsidRPr="00C927D2">
        <w:rPr>
          <w:rFonts w:ascii="Times New Roman" w:eastAsia="ＭＳ 明朝" w:hAnsi="Times New Roman" w:cs="Times New Roman"/>
          <w:kern w:val="0"/>
          <w:sz w:val="21"/>
          <w:szCs w:val="21"/>
          <w:lang w:eastAsia="ja-JP"/>
        </w:rPr>
        <w:t>E3ME</w:t>
      </w:r>
      <w:r w:rsidRPr="00C927D2">
        <w:rPr>
          <w:rFonts w:ascii="ＭＳ 明朝" w:eastAsia="ＭＳ 明朝" w:hAnsi="ＭＳ 明朝" w:cs="ＭＳ ゴシック" w:hint="eastAsia"/>
          <w:kern w:val="0"/>
          <w:sz w:val="21"/>
          <w:szCs w:val="21"/>
          <w:lang w:eastAsia="ja-JP"/>
        </w:rPr>
        <w:t>マクロ計量経済</w:t>
      </w:r>
      <w:r w:rsidRPr="00C927D2">
        <w:rPr>
          <w:rFonts w:ascii="ＭＳ 明朝" w:eastAsia="ＭＳ 明朝" w:hAnsi="ＭＳ 明朝" w:cs="ＭＳ ゴシック"/>
          <w:kern w:val="0"/>
          <w:sz w:val="21"/>
          <w:szCs w:val="21"/>
          <w:lang w:eastAsia="ja-JP"/>
        </w:rPr>
        <w:t>モデルと</w:t>
      </w:r>
      <w:r w:rsidRPr="00C927D2">
        <w:rPr>
          <w:rFonts w:ascii="Times New Roman" w:eastAsia="ＭＳ 明朝" w:hAnsi="Times New Roman" w:cs="Times New Roman"/>
          <w:kern w:val="0"/>
          <w:sz w:val="21"/>
          <w:szCs w:val="21"/>
          <w:lang w:eastAsia="ja-JP"/>
        </w:rPr>
        <w:t>FTT</w:t>
      </w:r>
      <w:r w:rsidRPr="00C927D2">
        <w:rPr>
          <w:rFonts w:ascii="ＭＳ 明朝" w:eastAsia="ＭＳ 明朝" w:hAnsi="ＭＳ 明朝" w:cs="ＭＳ ゴシック" w:hint="eastAsia"/>
          <w:kern w:val="0"/>
          <w:sz w:val="21"/>
          <w:szCs w:val="21"/>
          <w:lang w:eastAsia="ja-JP"/>
        </w:rPr>
        <w:t>ボトムアップ技術選択</w:t>
      </w:r>
      <w:r w:rsidRPr="00C927D2">
        <w:rPr>
          <w:rFonts w:ascii="ＭＳ 明朝" w:eastAsia="ＭＳ 明朝" w:hAnsi="ＭＳ 明朝" w:cs="ＭＳ ゴシック"/>
          <w:kern w:val="0"/>
          <w:sz w:val="21"/>
          <w:szCs w:val="21"/>
          <w:lang w:eastAsia="ja-JP"/>
        </w:rPr>
        <w:t>モデル</w:t>
      </w:r>
      <w:r w:rsidRPr="00C927D2">
        <w:rPr>
          <w:rFonts w:ascii="ＭＳ 明朝" w:eastAsia="ＭＳ 明朝" w:hAnsi="ＭＳ 明朝" w:cs="ＭＳ ゴシック" w:hint="eastAsia"/>
          <w:kern w:val="0"/>
          <w:sz w:val="21"/>
          <w:szCs w:val="21"/>
          <w:lang w:eastAsia="ja-JP"/>
        </w:rPr>
        <w:t>により</w:t>
      </w:r>
      <w:r w:rsidRPr="00C927D2">
        <w:rPr>
          <w:rFonts w:ascii="ＭＳ 明朝" w:eastAsia="ＭＳ 明朝" w:hAnsi="ＭＳ 明朝" w:cs="ＭＳ ゴシック"/>
          <w:kern w:val="0"/>
          <w:sz w:val="21"/>
          <w:szCs w:val="21"/>
          <w:lang w:eastAsia="ja-JP"/>
        </w:rPr>
        <w:t>、定量的に</w:t>
      </w:r>
      <w:r w:rsidRPr="00C927D2">
        <w:rPr>
          <w:rFonts w:ascii="ＭＳ 明朝" w:eastAsia="ＭＳ 明朝" w:hAnsi="ＭＳ 明朝" w:cs="ＭＳ ゴシック" w:hint="eastAsia"/>
          <w:kern w:val="0"/>
          <w:sz w:val="21"/>
          <w:szCs w:val="21"/>
          <w:lang w:eastAsia="ja-JP"/>
        </w:rPr>
        <w:t>評価し</w:t>
      </w:r>
      <w:r w:rsidRPr="00C927D2">
        <w:rPr>
          <w:rFonts w:ascii="ＭＳ 明朝" w:eastAsia="ＭＳ 明朝" w:hAnsi="ＭＳ 明朝" w:cs="ＭＳ ゴシック"/>
          <w:kern w:val="0"/>
          <w:sz w:val="21"/>
          <w:szCs w:val="21"/>
          <w:lang w:eastAsia="ja-JP"/>
        </w:rPr>
        <w:t>、</w:t>
      </w:r>
      <w:r w:rsidRPr="00C927D2">
        <w:rPr>
          <w:rFonts w:ascii="ＭＳ 明朝" w:eastAsia="ＭＳ 明朝" w:hAnsi="ＭＳ 明朝" w:cs="ＭＳ ゴシック" w:hint="eastAsia"/>
          <w:kern w:val="0"/>
          <w:sz w:val="21"/>
          <w:szCs w:val="21"/>
          <w:lang w:eastAsia="ja-JP"/>
        </w:rPr>
        <w:t>関連制度改革の当為性を評価する尺度として活用しました。 本書のこうした目標達成のために、下記の３つのサブテーマに分けて考察を行いました。</w:t>
      </w:r>
    </w:p>
    <w:p w:rsidR="00C927D2" w:rsidRPr="00C927D2" w:rsidRDefault="00C927D2" w:rsidP="00C927D2">
      <w:pPr>
        <w:wordWrap/>
        <w:adjustRightInd w:val="0"/>
        <w:spacing w:after="0" w:line="240" w:lineRule="auto"/>
        <w:ind w:firstLineChars="100" w:firstLine="210"/>
        <w:jc w:val="left"/>
        <w:rPr>
          <w:rFonts w:ascii="ＭＳ 明朝" w:eastAsia="ＭＳ 明朝" w:hAnsi="ＭＳ 明朝" w:cs="ＭＳ ゴシック"/>
          <w:kern w:val="0"/>
          <w:sz w:val="21"/>
          <w:szCs w:val="21"/>
          <w:lang w:eastAsia="ja-JP"/>
        </w:rPr>
      </w:pPr>
    </w:p>
    <w:p w:rsidR="00C927D2" w:rsidRPr="00C927D2" w:rsidRDefault="00C927D2" w:rsidP="00C927D2">
      <w:pPr>
        <w:wordWrap/>
        <w:adjustRightInd w:val="0"/>
        <w:spacing w:after="120" w:line="240" w:lineRule="auto"/>
        <w:rPr>
          <w:rFonts w:ascii="Times New Roman" w:eastAsia="ＭＳ ゴシック" w:hAnsi="Times New Roman" w:cs="Times New Roman"/>
          <w:kern w:val="0"/>
          <w:sz w:val="21"/>
          <w:szCs w:val="21"/>
          <w:lang w:eastAsia="ja-JP"/>
        </w:rPr>
      </w:pPr>
      <w:r w:rsidRPr="00C927D2">
        <w:rPr>
          <w:rFonts w:ascii="Times New Roman" w:eastAsia="ＭＳ ゴシック" w:hAnsi="Times New Roman" w:cs="Times New Roman"/>
          <w:kern w:val="0"/>
          <w:sz w:val="21"/>
          <w:szCs w:val="21"/>
          <w:lang w:eastAsia="ja-JP"/>
        </w:rPr>
        <w:t xml:space="preserve">Part 1 – </w:t>
      </w:r>
      <w:r w:rsidRPr="00C927D2">
        <w:rPr>
          <w:rFonts w:ascii="Times New Roman" w:eastAsia="ＭＳ ゴシック" w:hAnsi="Times New Roman" w:cs="Times New Roman"/>
          <w:b/>
          <w:kern w:val="0"/>
          <w:sz w:val="21"/>
          <w:szCs w:val="21"/>
          <w:lang w:eastAsia="ja-JP"/>
        </w:rPr>
        <w:t>Improving power sectors toward sustainable low carbon economy across East Asia</w:t>
      </w:r>
    </w:p>
    <w:p w:rsidR="00C927D2" w:rsidRPr="00C927D2" w:rsidRDefault="00C927D2" w:rsidP="00C927D2">
      <w:pPr>
        <w:wordWrap/>
        <w:adjustRightInd w:val="0"/>
        <w:spacing w:after="0" w:line="216" w:lineRule="auto"/>
        <w:ind w:firstLineChars="50" w:firstLine="105"/>
        <w:jc w:val="left"/>
        <w:rPr>
          <w:rFonts w:ascii="游明朝" w:eastAsia="游明朝" w:hAnsi="游明朝" w:cs="Times New Roman"/>
          <w:kern w:val="24"/>
          <w:sz w:val="21"/>
          <w:szCs w:val="21"/>
          <w:lang w:eastAsia="ja-JP"/>
        </w:rPr>
      </w:pPr>
      <w:r w:rsidRPr="00C927D2">
        <w:rPr>
          <w:rFonts w:ascii="ＭＳ 明朝" w:eastAsia="ＭＳ 明朝" w:hAnsi="ＭＳ 明朝" w:cs="Times New Roman" w:hint="eastAsia"/>
          <w:kern w:val="24"/>
          <w:sz w:val="21"/>
          <w:szCs w:val="21"/>
          <w:lang w:eastAsia="ja-JP"/>
        </w:rPr>
        <w:t>この</w:t>
      </w:r>
      <w:r w:rsidRPr="00C927D2">
        <w:rPr>
          <w:rFonts w:ascii="ＭＳ 明朝" w:eastAsia="ＭＳ 明朝" w:hAnsi="ＭＳ 明朝" w:cs="ＭＳ ゴシック" w:hint="eastAsia"/>
          <w:kern w:val="24"/>
          <w:sz w:val="21"/>
          <w:szCs w:val="21"/>
          <w:lang w:eastAsia="ja-JP"/>
        </w:rPr>
        <w:t>パートでは、東アジアにおける、原発と石炭火力の規制（例えば、両電源の現状維持ケース、漸減ケース、脱原発・石炭火力ケースなど）、炭素税と</w:t>
      </w:r>
      <w:r w:rsidRPr="00C927D2">
        <w:rPr>
          <w:rFonts w:ascii="Times New Roman" w:hAnsi="Times New Roman" w:cs="Times New Roman"/>
          <w:kern w:val="24"/>
          <w:sz w:val="21"/>
          <w:szCs w:val="21"/>
          <w:lang w:eastAsia="ja-JP"/>
        </w:rPr>
        <w:t xml:space="preserve"> Feed-in-Tariff</w:t>
      </w:r>
      <w:r w:rsidRPr="00C927D2">
        <w:rPr>
          <w:rFonts w:ascii="ＭＳ 明朝" w:eastAsia="ＭＳ 明朝" w:hAnsi="ＭＳ 明朝" w:cs="Times New Roman" w:hint="eastAsia"/>
          <w:kern w:val="24"/>
          <w:sz w:val="21"/>
          <w:szCs w:val="21"/>
          <w:lang w:eastAsia="ja-JP"/>
        </w:rPr>
        <w:t>制度の</w:t>
      </w:r>
      <w:r w:rsidRPr="00C927D2">
        <w:rPr>
          <w:rFonts w:ascii="ＭＳ 明朝" w:eastAsia="ＭＳ 明朝" w:hAnsi="ＭＳ 明朝" w:cs="ＭＳ ゴシック" w:hint="eastAsia"/>
          <w:kern w:val="24"/>
          <w:sz w:val="21"/>
          <w:szCs w:val="21"/>
          <w:lang w:eastAsia="ja-JP"/>
        </w:rPr>
        <w:t>単独政策とこれらのポリシーミックスが実施される場合に、2050年までの経済(</w:t>
      </w:r>
      <w:r w:rsidRPr="00C927D2">
        <w:rPr>
          <w:rFonts w:ascii="Times New Roman" w:eastAsia="ＭＳ 明朝" w:hAnsi="Times New Roman" w:cs="Times New Roman"/>
          <w:kern w:val="24"/>
          <w:sz w:val="21"/>
          <w:szCs w:val="21"/>
          <w:lang w:eastAsia="ja-JP"/>
        </w:rPr>
        <w:t>GDP</w:t>
      </w:r>
      <w:r w:rsidRPr="00C927D2">
        <w:rPr>
          <w:rFonts w:ascii="ＭＳ 明朝" w:eastAsia="ＭＳ 明朝" w:hAnsi="ＭＳ 明朝" w:cs="ＭＳ ゴシック" w:hint="eastAsia"/>
          <w:kern w:val="24"/>
          <w:sz w:val="21"/>
          <w:szCs w:val="21"/>
          <w:lang w:eastAsia="ja-JP"/>
        </w:rPr>
        <w:t>、雇用、貿易、物価など)と二酸化炭素排出に与える影響を上記</w:t>
      </w:r>
      <w:r w:rsidRPr="00C927D2">
        <w:rPr>
          <w:rFonts w:ascii="游明朝" w:eastAsia="游明朝" w:hAnsi="游明朝" w:cs="Times New Roman" w:hint="eastAsia"/>
          <w:kern w:val="24"/>
          <w:sz w:val="21"/>
          <w:szCs w:val="21"/>
          <w:lang w:eastAsia="ja-JP"/>
        </w:rPr>
        <w:t>モデル分析により</w:t>
      </w:r>
      <w:r w:rsidRPr="00C927D2">
        <w:rPr>
          <w:rFonts w:ascii="ＭＳ 明朝" w:eastAsia="ＭＳ 明朝" w:hAnsi="ＭＳ 明朝" w:cs="ＭＳ ゴシック" w:hint="eastAsia"/>
          <w:kern w:val="24"/>
          <w:sz w:val="21"/>
          <w:szCs w:val="21"/>
          <w:lang w:eastAsia="ja-JP"/>
        </w:rPr>
        <w:t>定量的に評価しました。そ</w:t>
      </w:r>
      <w:r w:rsidRPr="00C927D2">
        <w:rPr>
          <w:rFonts w:ascii="游明朝" w:eastAsia="游明朝" w:hAnsi="游明朝" w:cs="Times New Roman" w:hint="eastAsia"/>
          <w:kern w:val="24"/>
          <w:sz w:val="21"/>
          <w:szCs w:val="21"/>
          <w:lang w:eastAsia="ja-JP"/>
        </w:rPr>
        <w:t>の結果、これらのポリシーミクスは、再エネおよび省エネ関連投資促進、エネルギー輸入の縮小などにより、経済活力を阻害することなく、２℃目標達成を可能にするという結論に至りました。</w:t>
      </w:r>
    </w:p>
    <w:p w:rsidR="00C927D2" w:rsidRPr="00C927D2" w:rsidRDefault="00C927D2" w:rsidP="00C927D2">
      <w:pPr>
        <w:wordWrap/>
        <w:adjustRightInd w:val="0"/>
        <w:spacing w:after="0" w:line="216" w:lineRule="auto"/>
        <w:ind w:firstLineChars="50" w:firstLine="105"/>
        <w:jc w:val="left"/>
        <w:rPr>
          <w:rFonts w:ascii="Times New Roman" w:hAnsi="Times New Roman" w:cs="Times New Roman"/>
          <w:kern w:val="24"/>
          <w:sz w:val="21"/>
          <w:szCs w:val="21"/>
          <w:lang w:eastAsia="ja-JP"/>
        </w:rPr>
      </w:pPr>
    </w:p>
    <w:p w:rsidR="00C927D2" w:rsidRPr="00C927D2" w:rsidRDefault="00C927D2" w:rsidP="00C927D2">
      <w:pPr>
        <w:wordWrap/>
        <w:adjustRightInd w:val="0"/>
        <w:spacing w:after="120" w:line="240" w:lineRule="auto"/>
        <w:rPr>
          <w:rFonts w:ascii="Times New Roman" w:eastAsia="ＭＳ ゴシック" w:hAnsi="Times New Roman" w:cs="Times New Roman"/>
          <w:kern w:val="0"/>
          <w:sz w:val="21"/>
          <w:szCs w:val="21"/>
          <w:lang w:eastAsia="ja-JP"/>
        </w:rPr>
      </w:pPr>
      <w:r w:rsidRPr="00C927D2">
        <w:rPr>
          <w:rFonts w:ascii="Times New Roman" w:eastAsia="ＭＳ ゴシック" w:hAnsi="Times New Roman" w:cs="Times New Roman"/>
          <w:kern w:val="0"/>
          <w:sz w:val="21"/>
          <w:szCs w:val="21"/>
          <w:lang w:eastAsia="ja-JP"/>
        </w:rPr>
        <w:t>Part 2 –</w:t>
      </w:r>
      <w:r w:rsidRPr="00C927D2">
        <w:rPr>
          <w:rFonts w:ascii="ＭＳ ゴシック" w:eastAsia="ＭＳ ゴシック" w:hAnsi="Times New Roman" w:cs="ＭＳ ゴシック"/>
          <w:b/>
          <w:kern w:val="0"/>
          <w:sz w:val="21"/>
          <w:szCs w:val="21"/>
          <w:lang w:eastAsia="ja-JP"/>
        </w:rPr>
        <w:t xml:space="preserve"> </w:t>
      </w:r>
      <w:r w:rsidRPr="00C927D2">
        <w:rPr>
          <w:rFonts w:ascii="Times New Roman" w:eastAsia="ＭＳ ゴシック" w:hAnsi="Times New Roman" w:cs="Times New Roman"/>
          <w:b/>
          <w:kern w:val="0"/>
          <w:sz w:val="21"/>
          <w:szCs w:val="21"/>
          <w:lang w:eastAsia="ja-JP"/>
        </w:rPr>
        <w:t>Industry transition, transportation system and sustainable low carbon economy across East Asia</w:t>
      </w:r>
    </w:p>
    <w:p w:rsidR="00C927D2" w:rsidRPr="00C927D2" w:rsidRDefault="00C927D2" w:rsidP="00C927D2">
      <w:pPr>
        <w:widowControl/>
        <w:wordWrap/>
        <w:autoSpaceDE/>
        <w:autoSpaceDN/>
        <w:spacing w:after="0" w:line="240" w:lineRule="auto"/>
        <w:ind w:firstLineChars="100" w:firstLine="210"/>
        <w:jc w:val="left"/>
        <w:rPr>
          <w:rFonts w:ascii="ＭＳ 明朝" w:eastAsia="ＭＳ 明朝" w:hAnsi="ＭＳ 明朝" w:cs="Arial"/>
          <w:color w:val="000000"/>
          <w:kern w:val="0"/>
          <w:sz w:val="21"/>
          <w:szCs w:val="21"/>
          <w:lang w:eastAsia="ja-JP"/>
        </w:rPr>
      </w:pPr>
      <w:r w:rsidRPr="00C927D2">
        <w:rPr>
          <w:rFonts w:ascii="ＭＳ 明朝" w:eastAsia="ＭＳ 明朝" w:hAnsi="ＭＳ 明朝" w:cs="Gulim" w:hint="eastAsia"/>
          <w:color w:val="000000"/>
          <w:kern w:val="0"/>
          <w:sz w:val="21"/>
          <w:szCs w:val="21"/>
          <w:lang w:eastAsia="ja-JP"/>
        </w:rPr>
        <w:t>このパートでは、電力、産業、交通、ビル（熱・空調）部門で政治的に受容可能な低率の炭素税と多様な低炭素対策のポリシーミクスが実施される場合に、2050年までに環境と経済に与える影響を同じく上記モデルにより評価しました。その結果</w:t>
      </w:r>
      <w:r w:rsidRPr="00C927D2">
        <w:rPr>
          <w:rFonts w:ascii="ＭＳ 明朝" w:eastAsia="ＭＳ 明朝" w:hAnsi="ＭＳ 明朝" w:cs="Arial"/>
          <w:color w:val="000000"/>
          <w:kern w:val="0"/>
          <w:sz w:val="21"/>
          <w:szCs w:val="21"/>
          <w:lang w:eastAsia="ja-JP"/>
        </w:rPr>
        <w:t>、</w:t>
      </w:r>
      <w:r w:rsidRPr="00C927D2">
        <w:rPr>
          <w:rFonts w:ascii="ＭＳ 明朝" w:eastAsia="ＭＳ 明朝" w:hAnsi="ＭＳ 明朝" w:cs="Arial" w:hint="eastAsia"/>
          <w:color w:val="000000"/>
          <w:kern w:val="0"/>
          <w:sz w:val="21"/>
          <w:szCs w:val="21"/>
          <w:lang w:eastAsia="ja-JP"/>
        </w:rPr>
        <w:t>上記の</w:t>
      </w:r>
      <w:r w:rsidRPr="00C927D2">
        <w:rPr>
          <w:rFonts w:ascii="ＭＳ 明朝" w:eastAsia="ＭＳ 明朝" w:hAnsi="ＭＳ 明朝" w:cs="Arial"/>
          <w:color w:val="000000"/>
          <w:kern w:val="0"/>
          <w:sz w:val="21"/>
          <w:szCs w:val="21"/>
          <w:lang w:eastAsia="ja-JP"/>
        </w:rPr>
        <w:t>４つの部門で</w:t>
      </w:r>
      <w:r w:rsidRPr="00C927D2">
        <w:rPr>
          <w:rFonts w:ascii="ＭＳ 明朝" w:eastAsia="ＭＳ 明朝" w:hAnsi="ＭＳ 明朝" w:cs="Arial" w:hint="eastAsia"/>
          <w:color w:val="000000"/>
          <w:kern w:val="0"/>
          <w:sz w:val="21"/>
          <w:szCs w:val="21"/>
          <w:lang w:eastAsia="ja-JP"/>
        </w:rPr>
        <w:t>、低炭素補助金、及び低炭素規制が効果的にデザインされる場合、政治的に妥協の可能な低い水準の炭素税でも、各部門での低炭素技術促進により２℃目標達成と低炭素産業構造への促進と経済活力が同時に達成できることを示しました</w:t>
      </w:r>
      <w:r w:rsidRPr="00C927D2">
        <w:rPr>
          <w:rFonts w:ascii="ＭＳ 明朝" w:eastAsia="ＭＳ 明朝" w:hAnsi="ＭＳ 明朝" w:cs="Arial"/>
          <w:color w:val="000000"/>
          <w:kern w:val="0"/>
          <w:sz w:val="21"/>
          <w:szCs w:val="21"/>
          <w:lang w:eastAsia="ja-JP"/>
        </w:rPr>
        <w:t>。</w:t>
      </w:r>
    </w:p>
    <w:p w:rsidR="00C927D2" w:rsidRPr="00C927D2" w:rsidRDefault="00C927D2" w:rsidP="00C927D2">
      <w:pPr>
        <w:widowControl/>
        <w:wordWrap/>
        <w:autoSpaceDE/>
        <w:autoSpaceDN/>
        <w:spacing w:after="0" w:line="240" w:lineRule="auto"/>
        <w:ind w:firstLine="105"/>
        <w:jc w:val="left"/>
        <w:rPr>
          <w:rFonts w:ascii="ＭＳ 明朝" w:eastAsia="ＭＳ 明朝" w:hAnsi="ＭＳ 明朝" w:cs="Arial"/>
          <w:color w:val="222222"/>
          <w:kern w:val="0"/>
          <w:sz w:val="21"/>
          <w:szCs w:val="21"/>
          <w:lang w:eastAsia="ja-JP"/>
        </w:rPr>
      </w:pPr>
    </w:p>
    <w:p w:rsidR="00C927D2" w:rsidRPr="00C927D2" w:rsidRDefault="00C927D2" w:rsidP="00C927D2">
      <w:pPr>
        <w:wordWrap/>
        <w:adjustRightInd w:val="0"/>
        <w:spacing w:after="120" w:line="240" w:lineRule="auto"/>
        <w:rPr>
          <w:rFonts w:ascii="Times New Roman" w:eastAsia="ＭＳ ゴシック" w:hAnsi="Times New Roman" w:cs="Times New Roman"/>
          <w:kern w:val="0"/>
          <w:sz w:val="21"/>
          <w:szCs w:val="21"/>
          <w:lang w:eastAsia="ja-JP"/>
        </w:rPr>
      </w:pPr>
      <w:r w:rsidRPr="00C927D2">
        <w:rPr>
          <w:rFonts w:ascii="Times New Roman" w:eastAsia="ＭＳ ゴシック" w:hAnsi="Times New Roman" w:cs="Times New Roman"/>
          <w:kern w:val="0"/>
          <w:sz w:val="21"/>
          <w:szCs w:val="21"/>
          <w:lang w:eastAsia="ja-JP"/>
        </w:rPr>
        <w:t xml:space="preserve">Part 3 – </w:t>
      </w:r>
      <w:r w:rsidRPr="00C927D2">
        <w:rPr>
          <w:rFonts w:ascii="Times New Roman" w:eastAsia="ＭＳ ゴシック" w:hAnsi="Times New Roman" w:cs="Times New Roman"/>
          <w:b/>
          <w:kern w:val="0"/>
          <w:sz w:val="21"/>
          <w:szCs w:val="21"/>
          <w:lang w:eastAsia="ja-JP"/>
        </w:rPr>
        <w:t>Transition of materials, water and local pollution for environmental sustainability</w:t>
      </w:r>
    </w:p>
    <w:p w:rsidR="00C927D2" w:rsidRPr="00C927D2" w:rsidRDefault="00C927D2" w:rsidP="00C927D2">
      <w:pPr>
        <w:wordWrap/>
        <w:adjustRightInd w:val="0"/>
        <w:spacing w:after="0" w:line="240" w:lineRule="auto"/>
        <w:ind w:firstLineChars="100" w:firstLine="210"/>
        <w:jc w:val="left"/>
        <w:rPr>
          <w:rFonts w:ascii="Times New Roman" w:eastAsia="ＭＳ ゴシック" w:hAnsi="Times New Roman" w:cs="Times New Roman"/>
          <w:kern w:val="0"/>
          <w:sz w:val="21"/>
          <w:szCs w:val="21"/>
          <w:lang w:eastAsia="ja-JP"/>
        </w:rPr>
      </w:pPr>
      <w:r w:rsidRPr="00C927D2">
        <w:rPr>
          <w:rFonts w:ascii="ＭＳ 明朝" w:eastAsia="ＭＳ 明朝" w:hAnsi="ＭＳ 明朝" w:cs="ＭＳ ゴシック" w:hint="eastAsia"/>
          <w:kern w:val="0"/>
          <w:sz w:val="21"/>
          <w:szCs w:val="21"/>
          <w:lang w:eastAsia="ja-JP"/>
        </w:rPr>
        <w:t>このパートでは、東アジアの急速な工業発展を支えてきたエネルギー、資源の持続可能な利用に向けた制度改革の方向性について考察しました。また東アジアレベルでのPM2.5など越境大気汚染の現状とその健康影響、そしてこうした影響を最小化させるための東アジアベースでの新しいガバナンスの構築を模索しました。結論として、資源枯渇と資源利用による環境影響の両面での影響を縮小するためには、これらを内部化する資源税の導入が必要であり、バーチャルウォーターの国境移動についても水源保護のための課税の必要性を明らかにしました。そして越境汚染対策として、東アジアの国が緊密な政策協力ができるように法的根拠に伴うガバナンスの構築</w:t>
      </w:r>
      <w:r w:rsidRPr="00C927D2">
        <w:rPr>
          <w:rFonts w:ascii="ＭＳ 明朝" w:eastAsia="ＭＳ 明朝" w:hAnsi="ＭＳ 明朝" w:cs="Times New Roman" w:hint="eastAsia"/>
          <w:kern w:val="0"/>
          <w:sz w:val="21"/>
          <w:szCs w:val="21"/>
          <w:lang w:eastAsia="ja-JP"/>
        </w:rPr>
        <w:t>（</w:t>
      </w:r>
      <w:r w:rsidRPr="00C927D2">
        <w:rPr>
          <w:rFonts w:ascii="ＭＳ 明朝" w:eastAsia="ＭＳ 明朝" w:hAnsi="ＭＳ 明朝" w:cs="Times New Roman"/>
          <w:kern w:val="0"/>
          <w:sz w:val="21"/>
          <w:szCs w:val="21"/>
          <w:lang w:eastAsia="ja-JP"/>
        </w:rPr>
        <w:t>例えば各国の首脳級を共同議長とする東アジア環境エネルギー安全協議体の設置</w:t>
      </w:r>
      <w:r w:rsidRPr="00C927D2">
        <w:rPr>
          <w:rFonts w:ascii="ＭＳ 明朝" w:eastAsia="ＭＳ 明朝" w:hAnsi="ＭＳ 明朝" w:cs="ＭＳ ゴシック" w:hint="eastAsia"/>
          <w:kern w:val="0"/>
          <w:sz w:val="21"/>
          <w:szCs w:val="21"/>
          <w:lang w:eastAsia="ja-JP"/>
        </w:rPr>
        <w:t>）を提案しました。</w:t>
      </w:r>
    </w:p>
    <w:p w:rsidR="00C927D2" w:rsidRPr="00C927D2" w:rsidRDefault="00C927D2" w:rsidP="00C927D2">
      <w:pPr>
        <w:wordWrap/>
        <w:adjustRightInd w:val="0"/>
        <w:spacing w:after="0" w:line="240" w:lineRule="auto"/>
        <w:jc w:val="left"/>
        <w:rPr>
          <w:rFonts w:ascii="ＭＳ 明朝" w:eastAsia="ＭＳ 明朝" w:hAnsi="ＭＳ 明朝" w:cs="ＭＳ ゴシック"/>
          <w:kern w:val="0"/>
          <w:sz w:val="21"/>
          <w:szCs w:val="21"/>
          <w:lang w:eastAsia="ja-JP"/>
        </w:rPr>
      </w:pPr>
      <w:r w:rsidRPr="00C927D2">
        <w:rPr>
          <w:rFonts w:ascii="ＭＳ 明朝" w:eastAsia="ＭＳ 明朝" w:hAnsi="ＭＳ 明朝" w:cs="ＭＳ ゴシック" w:hint="eastAsia"/>
          <w:kern w:val="0"/>
          <w:sz w:val="21"/>
          <w:szCs w:val="21"/>
          <w:lang w:eastAsia="ja-JP"/>
        </w:rPr>
        <w:t xml:space="preserve">　本書の考察から、東アジアでの持続可能な低炭素社会、そして環境エネルギー面で安全な社会が保障されるためには、少なくとも日中韓でエネルギー環境政策において緊密な政策協調と共同の取り組みは、必須の条件であることが示唆されておりました 。</w:t>
      </w:r>
    </w:p>
    <w:p w:rsidR="003A2E5D" w:rsidRPr="003A2E5D" w:rsidRDefault="003A2E5D">
      <w:pPr>
        <w:rPr>
          <w:rFonts w:eastAsia="游明朝"/>
          <w:lang w:eastAsia="ja-JP"/>
        </w:rPr>
      </w:pPr>
    </w:p>
    <w:sectPr w:rsidR="003A2E5D" w:rsidRPr="003A2E5D">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49" w:rsidRDefault="00267D49" w:rsidP="00C927D2">
      <w:pPr>
        <w:spacing w:after="0" w:line="240" w:lineRule="auto"/>
      </w:pPr>
      <w:r>
        <w:separator/>
      </w:r>
    </w:p>
  </w:endnote>
  <w:endnote w:type="continuationSeparator" w:id="0">
    <w:p w:rsidR="00267D49" w:rsidRDefault="00267D49"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49" w:rsidRDefault="00267D49" w:rsidP="00C927D2">
      <w:pPr>
        <w:spacing w:after="0" w:line="240" w:lineRule="auto"/>
      </w:pPr>
      <w:r>
        <w:separator/>
      </w:r>
    </w:p>
  </w:footnote>
  <w:footnote w:type="continuationSeparator" w:id="0">
    <w:p w:rsidR="00267D49" w:rsidRDefault="00267D49" w:rsidP="00C92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7D"/>
    <w:rsid w:val="000539E5"/>
    <w:rsid w:val="000C48C8"/>
    <w:rsid w:val="0010499C"/>
    <w:rsid w:val="00165FAB"/>
    <w:rsid w:val="0018755B"/>
    <w:rsid w:val="001A3D80"/>
    <w:rsid w:val="00225E7C"/>
    <w:rsid w:val="00267D49"/>
    <w:rsid w:val="002C0CE2"/>
    <w:rsid w:val="0030001E"/>
    <w:rsid w:val="00363534"/>
    <w:rsid w:val="003A1858"/>
    <w:rsid w:val="003A2E5D"/>
    <w:rsid w:val="00461CF9"/>
    <w:rsid w:val="00462CFC"/>
    <w:rsid w:val="004B0E27"/>
    <w:rsid w:val="00547A36"/>
    <w:rsid w:val="005A0452"/>
    <w:rsid w:val="007C1EBF"/>
    <w:rsid w:val="007D5810"/>
    <w:rsid w:val="008A10D2"/>
    <w:rsid w:val="009412A4"/>
    <w:rsid w:val="009975A4"/>
    <w:rsid w:val="009B2E0B"/>
    <w:rsid w:val="009C7E24"/>
    <w:rsid w:val="00A27EDF"/>
    <w:rsid w:val="00AB1F7D"/>
    <w:rsid w:val="00BD3B2C"/>
    <w:rsid w:val="00C071A5"/>
    <w:rsid w:val="00C52795"/>
    <w:rsid w:val="00C660F4"/>
    <w:rsid w:val="00C927D2"/>
    <w:rsid w:val="00CF2F7F"/>
    <w:rsid w:val="00D032AC"/>
    <w:rsid w:val="00D75D1E"/>
    <w:rsid w:val="00D81F94"/>
    <w:rsid w:val="00E1752B"/>
    <w:rsid w:val="00E76A55"/>
    <w:rsid w:val="00E844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FDE14"/>
  <w15:chartTrackingRefBased/>
  <w15:docId w15:val="{95A8DDA8-236D-4F61-AF4B-B18F6591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7D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7D2"/>
    <w:pPr>
      <w:tabs>
        <w:tab w:val="center" w:pos="4252"/>
        <w:tab w:val="right" w:pos="8504"/>
      </w:tabs>
      <w:snapToGrid w:val="0"/>
    </w:pPr>
  </w:style>
  <w:style w:type="character" w:customStyle="1" w:styleId="a4">
    <w:name w:val="ヘッダー (文字)"/>
    <w:basedOn w:val="a0"/>
    <w:link w:val="a3"/>
    <w:uiPriority w:val="99"/>
    <w:rsid w:val="00C927D2"/>
  </w:style>
  <w:style w:type="paragraph" w:styleId="a5">
    <w:name w:val="footer"/>
    <w:basedOn w:val="a"/>
    <w:link w:val="a6"/>
    <w:uiPriority w:val="99"/>
    <w:unhideWhenUsed/>
    <w:rsid w:val="00C927D2"/>
    <w:pPr>
      <w:tabs>
        <w:tab w:val="center" w:pos="4252"/>
        <w:tab w:val="right" w:pos="8504"/>
      </w:tabs>
      <w:snapToGrid w:val="0"/>
    </w:pPr>
  </w:style>
  <w:style w:type="character" w:customStyle="1" w:styleId="a6">
    <w:name w:val="フッター (文字)"/>
    <w:basedOn w:val="a0"/>
    <w:link w:val="a5"/>
    <w:uiPriority w:val="99"/>
    <w:rsid w:val="00C927D2"/>
  </w:style>
  <w:style w:type="paragraph" w:styleId="a7">
    <w:name w:val="No Spacing"/>
    <w:uiPriority w:val="1"/>
    <w:qFormat/>
    <w:rsid w:val="00C927D2"/>
    <w:pPr>
      <w:widowControl w:val="0"/>
      <w:wordWrap w:val="0"/>
      <w:autoSpaceDE w:val="0"/>
      <w:autoSpaceDN w:val="0"/>
      <w:spacing w:after="0" w:line="240" w:lineRule="auto"/>
    </w:pPr>
  </w:style>
  <w:style w:type="paragraph" w:styleId="a8">
    <w:name w:val="Balloon Text"/>
    <w:basedOn w:val="a"/>
    <w:link w:val="a9"/>
    <w:uiPriority w:val="99"/>
    <w:semiHidden/>
    <w:unhideWhenUsed/>
    <w:rsid w:val="003A2E5D"/>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2E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6</cp:revision>
  <cp:lastPrinted>2019-11-26T05:27:00Z</cp:lastPrinted>
  <dcterms:created xsi:type="dcterms:W3CDTF">2019-11-24T01:11:00Z</dcterms:created>
  <dcterms:modified xsi:type="dcterms:W3CDTF">2019-11-30T14:13:00Z</dcterms:modified>
</cp:coreProperties>
</file>